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35" w:rsidRPr="008E4A35" w:rsidRDefault="008E4A35" w:rsidP="008E4A35">
      <w:pPr>
        <w:spacing w:after="0" w:line="240" w:lineRule="auto"/>
        <w:jc w:val="center"/>
        <w:rPr>
          <w:rFonts w:eastAsia="Times New Roman" w:cstheme="minorHAnsi"/>
          <w:sz w:val="24"/>
          <w:szCs w:val="24"/>
          <w:lang w:val="tr-TR"/>
        </w:rPr>
      </w:pPr>
      <w:bookmarkStart w:id="0" w:name="_GoBack"/>
      <w:bookmarkEnd w:id="0"/>
      <w:r w:rsidRPr="008E4A35">
        <w:rPr>
          <w:rFonts w:eastAsia="Times New Roman" w:cstheme="minorHAnsi"/>
          <w:noProof/>
          <w:sz w:val="24"/>
          <w:szCs w:val="24"/>
        </w:rPr>
        <w:drawing>
          <wp:inline distT="0" distB="0" distL="0" distR="0">
            <wp:extent cx="789940" cy="78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9940" cy="782955"/>
                    </a:xfrm>
                    <a:prstGeom prst="rect">
                      <a:avLst/>
                    </a:prstGeom>
                    <a:noFill/>
                    <a:ln>
                      <a:noFill/>
                    </a:ln>
                  </pic:spPr>
                </pic:pic>
              </a:graphicData>
            </a:graphic>
          </wp:inline>
        </w:drawing>
      </w:r>
    </w:p>
    <w:tbl>
      <w:tblPr>
        <w:tblW w:w="10140" w:type="dxa"/>
        <w:tblLayout w:type="fixed"/>
        <w:tblLook w:val="0000" w:firstRow="0" w:lastRow="0" w:firstColumn="0" w:lastColumn="0" w:noHBand="0" w:noVBand="0"/>
      </w:tblPr>
      <w:tblGrid>
        <w:gridCol w:w="1418"/>
        <w:gridCol w:w="567"/>
        <w:gridCol w:w="567"/>
        <w:gridCol w:w="217"/>
        <w:gridCol w:w="5322"/>
        <w:gridCol w:w="2049"/>
      </w:tblGrid>
      <w:tr w:rsidR="008E4A35" w:rsidRPr="008E4A35" w:rsidTr="008E4A35">
        <w:tc>
          <w:tcPr>
            <w:tcW w:w="1418" w:type="dxa"/>
          </w:tcPr>
          <w:p w:rsidR="008E4A35" w:rsidRPr="008E4A35" w:rsidRDefault="008E4A35" w:rsidP="008E4A35">
            <w:pPr>
              <w:spacing w:after="0" w:line="240" w:lineRule="auto"/>
              <w:jc w:val="center"/>
              <w:rPr>
                <w:rFonts w:eastAsia="Times New Roman" w:cstheme="minorHAnsi"/>
                <w:sz w:val="24"/>
                <w:szCs w:val="24"/>
                <w:lang w:val="tr-TR"/>
              </w:rPr>
            </w:pPr>
          </w:p>
        </w:tc>
        <w:tc>
          <w:tcPr>
            <w:tcW w:w="1351" w:type="dxa"/>
            <w:gridSpan w:val="3"/>
          </w:tcPr>
          <w:p w:rsidR="008E4A35" w:rsidRPr="008E4A35" w:rsidRDefault="008E4A35" w:rsidP="008E4A35">
            <w:pPr>
              <w:spacing w:after="0" w:line="240" w:lineRule="auto"/>
              <w:jc w:val="center"/>
              <w:rPr>
                <w:rFonts w:eastAsia="Times New Roman" w:cstheme="minorHAnsi"/>
                <w:sz w:val="24"/>
                <w:szCs w:val="24"/>
                <w:lang w:val="tr-TR"/>
              </w:rPr>
            </w:pPr>
          </w:p>
        </w:tc>
        <w:tc>
          <w:tcPr>
            <w:tcW w:w="5322" w:type="dxa"/>
          </w:tcPr>
          <w:p w:rsidR="008E4A35" w:rsidRPr="008E4A35" w:rsidRDefault="008E4A35" w:rsidP="008E4A35">
            <w:pPr>
              <w:spacing w:after="0" w:line="240" w:lineRule="auto"/>
              <w:jc w:val="center"/>
              <w:rPr>
                <w:rFonts w:eastAsia="Times New Roman" w:cstheme="minorHAnsi"/>
                <w:sz w:val="24"/>
                <w:szCs w:val="24"/>
                <w:lang w:val="tr-TR"/>
              </w:rPr>
            </w:pPr>
            <w:r w:rsidRPr="008E4A35">
              <w:rPr>
                <w:rFonts w:eastAsia="Times New Roman" w:cstheme="minorHAnsi"/>
                <w:sz w:val="24"/>
                <w:szCs w:val="24"/>
                <w:lang w:val="tr-TR"/>
              </w:rPr>
              <w:t>KUZEY KIBRIS TÜRK CUMHURİYETİ</w:t>
            </w:r>
          </w:p>
        </w:tc>
        <w:tc>
          <w:tcPr>
            <w:tcW w:w="2049" w:type="dxa"/>
          </w:tcPr>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jc w:val="center"/>
              <w:rPr>
                <w:rFonts w:eastAsia="Times New Roman" w:cstheme="minorHAnsi"/>
                <w:sz w:val="24"/>
                <w:szCs w:val="24"/>
                <w:lang w:val="tr-TR"/>
              </w:rPr>
            </w:pPr>
          </w:p>
        </w:tc>
        <w:tc>
          <w:tcPr>
            <w:tcW w:w="1351" w:type="dxa"/>
            <w:gridSpan w:val="3"/>
          </w:tcPr>
          <w:p w:rsidR="008E4A35" w:rsidRPr="008E4A35" w:rsidRDefault="008E4A35" w:rsidP="008E4A35">
            <w:pPr>
              <w:spacing w:after="0" w:line="240" w:lineRule="auto"/>
              <w:jc w:val="center"/>
              <w:rPr>
                <w:rFonts w:eastAsia="Times New Roman" w:cstheme="minorHAnsi"/>
                <w:sz w:val="24"/>
                <w:szCs w:val="24"/>
                <w:lang w:val="tr-TR"/>
              </w:rPr>
            </w:pPr>
          </w:p>
        </w:tc>
        <w:tc>
          <w:tcPr>
            <w:tcW w:w="5322" w:type="dxa"/>
          </w:tcPr>
          <w:p w:rsidR="008E4A35" w:rsidRPr="008E4A35" w:rsidRDefault="008E4A35" w:rsidP="008E4A35">
            <w:pPr>
              <w:spacing w:after="0" w:line="240" w:lineRule="auto"/>
              <w:jc w:val="center"/>
              <w:rPr>
                <w:rFonts w:eastAsia="Times New Roman" w:cstheme="minorHAnsi"/>
                <w:sz w:val="24"/>
                <w:szCs w:val="24"/>
                <w:lang w:val="tr-TR"/>
              </w:rPr>
            </w:pPr>
            <w:r w:rsidRPr="008E4A35">
              <w:rPr>
                <w:rFonts w:eastAsia="Times New Roman" w:cstheme="minorHAnsi"/>
                <w:sz w:val="24"/>
                <w:szCs w:val="24"/>
                <w:lang w:val="tr-TR"/>
              </w:rPr>
              <w:t>RESMİ GAZETE</w:t>
            </w:r>
          </w:p>
        </w:tc>
        <w:tc>
          <w:tcPr>
            <w:tcW w:w="2049" w:type="dxa"/>
          </w:tcPr>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sz w:val="24"/>
                <w:szCs w:val="24"/>
                <w:lang w:val="tr-TR"/>
              </w:rPr>
            </w:pPr>
          </w:p>
        </w:tc>
        <w:tc>
          <w:tcPr>
            <w:tcW w:w="1351" w:type="dxa"/>
            <w:gridSpan w:val="3"/>
          </w:tcPr>
          <w:p w:rsidR="008E4A35" w:rsidRPr="008E4A35" w:rsidRDefault="008E4A35" w:rsidP="008E4A35">
            <w:pPr>
              <w:spacing w:after="0" w:line="240" w:lineRule="auto"/>
              <w:rPr>
                <w:rFonts w:eastAsia="Times New Roman" w:cstheme="minorHAnsi"/>
                <w:sz w:val="24"/>
                <w:szCs w:val="24"/>
                <w:lang w:val="tr-TR"/>
              </w:rPr>
            </w:pPr>
            <w:r w:rsidRPr="008E4A35">
              <w:rPr>
                <w:rFonts w:eastAsia="Times New Roman" w:cstheme="minorHAnsi"/>
                <w:sz w:val="24"/>
                <w:szCs w:val="24"/>
                <w:lang w:val="tr-TR"/>
              </w:rPr>
              <w:t>Sayı : 103</w:t>
            </w:r>
          </w:p>
        </w:tc>
        <w:tc>
          <w:tcPr>
            <w:tcW w:w="5322" w:type="dxa"/>
          </w:tcPr>
          <w:p w:rsidR="008E4A35" w:rsidRPr="008E4A35" w:rsidRDefault="008E4A35" w:rsidP="008E4A35">
            <w:pPr>
              <w:spacing w:after="0" w:line="240" w:lineRule="auto"/>
              <w:jc w:val="center"/>
              <w:rPr>
                <w:rFonts w:eastAsia="Times New Roman" w:cstheme="minorHAnsi"/>
                <w:sz w:val="24"/>
                <w:szCs w:val="24"/>
                <w:lang w:val="tr-TR"/>
              </w:rPr>
            </w:pPr>
            <w:r w:rsidRPr="008E4A35">
              <w:rPr>
                <w:rFonts w:eastAsia="Times New Roman" w:cstheme="minorHAnsi"/>
                <w:sz w:val="24"/>
                <w:szCs w:val="24"/>
                <w:lang w:val="tr-TR"/>
              </w:rPr>
              <w:t>EK  III</w:t>
            </w:r>
          </w:p>
        </w:tc>
        <w:tc>
          <w:tcPr>
            <w:tcW w:w="2049" w:type="dxa"/>
          </w:tcPr>
          <w:p w:rsidR="008E4A35" w:rsidRPr="008E4A35" w:rsidRDefault="008E4A35" w:rsidP="008E4A35">
            <w:pPr>
              <w:spacing w:after="0" w:line="240" w:lineRule="auto"/>
              <w:jc w:val="right"/>
              <w:rPr>
                <w:rFonts w:eastAsia="Times New Roman" w:cstheme="minorHAnsi"/>
                <w:sz w:val="24"/>
                <w:szCs w:val="24"/>
                <w:lang w:val="tr-TR"/>
              </w:rPr>
            </w:pPr>
            <w:r w:rsidRPr="008E4A35">
              <w:rPr>
                <w:rFonts w:eastAsia="Times New Roman" w:cstheme="minorHAnsi"/>
                <w:sz w:val="24"/>
                <w:szCs w:val="24"/>
                <w:lang w:val="tr-TR"/>
              </w:rPr>
              <w:t>18 Ağustos, 1999</w:t>
            </w:r>
          </w:p>
        </w:tc>
      </w:tr>
      <w:tr w:rsidR="008E4A35" w:rsidRPr="008E4A35" w:rsidTr="008E4A35">
        <w:tc>
          <w:tcPr>
            <w:tcW w:w="1418" w:type="dxa"/>
            <w:tcBorders>
              <w:bottom w:val="double" w:sz="6" w:space="0" w:color="auto"/>
            </w:tcBorders>
          </w:tcPr>
          <w:p w:rsidR="008E4A35" w:rsidRPr="008E4A35" w:rsidRDefault="008E4A35" w:rsidP="008E4A35">
            <w:pPr>
              <w:spacing w:after="0" w:line="240" w:lineRule="auto"/>
              <w:jc w:val="center"/>
              <w:rPr>
                <w:rFonts w:eastAsia="Times New Roman" w:cstheme="minorHAnsi"/>
                <w:sz w:val="24"/>
                <w:szCs w:val="24"/>
                <w:lang w:val="tr-TR"/>
              </w:rPr>
            </w:pPr>
          </w:p>
        </w:tc>
        <w:tc>
          <w:tcPr>
            <w:tcW w:w="1351" w:type="dxa"/>
            <w:gridSpan w:val="3"/>
            <w:tcBorders>
              <w:bottom w:val="double" w:sz="6" w:space="0" w:color="auto"/>
            </w:tcBorders>
          </w:tcPr>
          <w:p w:rsidR="008E4A35" w:rsidRPr="008E4A35" w:rsidRDefault="008E4A35" w:rsidP="008E4A35">
            <w:pPr>
              <w:spacing w:after="0" w:line="240" w:lineRule="auto"/>
              <w:jc w:val="center"/>
              <w:rPr>
                <w:rFonts w:eastAsia="Times New Roman" w:cstheme="minorHAnsi"/>
                <w:sz w:val="24"/>
                <w:szCs w:val="24"/>
                <w:lang w:val="tr-TR"/>
              </w:rPr>
            </w:pPr>
          </w:p>
        </w:tc>
        <w:tc>
          <w:tcPr>
            <w:tcW w:w="5322" w:type="dxa"/>
            <w:tcBorders>
              <w:bottom w:val="double" w:sz="6" w:space="0" w:color="auto"/>
            </w:tcBorders>
          </w:tcPr>
          <w:p w:rsidR="008E4A35" w:rsidRPr="008E4A35" w:rsidRDefault="008E4A35" w:rsidP="008E4A35">
            <w:pPr>
              <w:spacing w:after="0" w:line="240" w:lineRule="auto"/>
              <w:jc w:val="center"/>
              <w:rPr>
                <w:rFonts w:eastAsia="Times New Roman" w:cstheme="minorHAnsi"/>
                <w:sz w:val="24"/>
                <w:szCs w:val="24"/>
                <w:lang w:val="tr-TR"/>
              </w:rPr>
            </w:pPr>
            <w:r w:rsidRPr="008E4A35">
              <w:rPr>
                <w:rFonts w:eastAsia="Times New Roman" w:cstheme="minorHAnsi"/>
                <w:sz w:val="24"/>
                <w:szCs w:val="24"/>
                <w:lang w:val="tr-TR"/>
              </w:rPr>
              <w:t>TEBLİĞ  VE  İLÂNLAR</w:t>
            </w:r>
          </w:p>
        </w:tc>
        <w:tc>
          <w:tcPr>
            <w:tcW w:w="2049" w:type="dxa"/>
            <w:tcBorders>
              <w:bottom w:val="double" w:sz="6" w:space="0" w:color="auto"/>
            </w:tcBorders>
          </w:tcPr>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p>
        </w:tc>
        <w:tc>
          <w:tcPr>
            <w:tcW w:w="1351" w:type="dxa"/>
            <w:gridSpan w:val="3"/>
          </w:tcPr>
          <w:p w:rsidR="008E4A35" w:rsidRPr="008E4A35" w:rsidRDefault="008E4A35" w:rsidP="008E4A35">
            <w:pPr>
              <w:spacing w:after="0" w:line="240" w:lineRule="auto"/>
              <w:rPr>
                <w:rFonts w:eastAsia="Times New Roman" w:cstheme="minorHAnsi"/>
                <w:b/>
                <w:sz w:val="24"/>
                <w:szCs w:val="24"/>
                <w:lang w:val="tr-TR"/>
              </w:rPr>
            </w:pPr>
          </w:p>
          <w:p w:rsidR="008E4A35" w:rsidRPr="008E4A35" w:rsidRDefault="008E4A35" w:rsidP="008E4A35">
            <w:pPr>
              <w:spacing w:after="0" w:line="240" w:lineRule="auto"/>
              <w:rPr>
                <w:rFonts w:eastAsia="Times New Roman" w:cstheme="minorHAnsi"/>
                <w:sz w:val="24"/>
                <w:szCs w:val="24"/>
                <w:lang w:val="tr-TR"/>
              </w:rPr>
            </w:pPr>
            <w:r w:rsidRPr="008E4A35">
              <w:rPr>
                <w:rFonts w:eastAsia="Times New Roman" w:cstheme="minorHAnsi"/>
                <w:b/>
                <w:sz w:val="24"/>
                <w:szCs w:val="24"/>
                <w:lang w:val="tr-TR"/>
              </w:rPr>
              <w:t>Sayı : 508</w:t>
            </w:r>
          </w:p>
        </w:tc>
        <w:tc>
          <w:tcPr>
            <w:tcW w:w="5322" w:type="dxa"/>
          </w:tcPr>
          <w:p w:rsidR="008E4A35" w:rsidRPr="008E4A35" w:rsidRDefault="008E4A35" w:rsidP="008E4A35">
            <w:pPr>
              <w:spacing w:after="0" w:line="240" w:lineRule="auto"/>
              <w:jc w:val="center"/>
              <w:rPr>
                <w:rFonts w:eastAsia="Times New Roman" w:cstheme="minorHAnsi"/>
                <w:sz w:val="24"/>
                <w:szCs w:val="24"/>
                <w:lang w:val="tr-TR"/>
              </w:rPr>
            </w:pPr>
          </w:p>
        </w:tc>
        <w:tc>
          <w:tcPr>
            <w:tcW w:w="2049" w:type="dxa"/>
          </w:tcPr>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p>
        </w:tc>
        <w:tc>
          <w:tcPr>
            <w:tcW w:w="8722" w:type="dxa"/>
            <w:gridSpan w:val="5"/>
          </w:tcPr>
          <w:p w:rsidR="008E4A35" w:rsidRPr="008E4A35" w:rsidRDefault="008E4A35" w:rsidP="008E4A35">
            <w:pPr>
              <w:spacing w:after="0" w:line="240" w:lineRule="auto"/>
              <w:jc w:val="center"/>
              <w:rPr>
                <w:rFonts w:eastAsia="Times New Roman" w:cstheme="minorHAnsi"/>
                <w:b/>
                <w:sz w:val="24"/>
                <w:szCs w:val="24"/>
                <w:lang w:val="tr-TR"/>
              </w:rPr>
            </w:pPr>
            <w:r w:rsidRPr="008E4A35">
              <w:rPr>
                <w:rFonts w:eastAsia="Times New Roman" w:cstheme="minorHAnsi"/>
                <w:b/>
                <w:sz w:val="24"/>
                <w:szCs w:val="24"/>
                <w:lang w:val="tr-TR"/>
              </w:rPr>
              <w:t>KATMA DEĞER VERGİSİ YASASI</w:t>
            </w:r>
          </w:p>
          <w:p w:rsidR="008E4A35" w:rsidRPr="008E4A35" w:rsidRDefault="008E4A35" w:rsidP="008E4A35">
            <w:pPr>
              <w:spacing w:after="0" w:line="240" w:lineRule="auto"/>
              <w:jc w:val="center"/>
              <w:rPr>
                <w:rFonts w:eastAsia="Times New Roman" w:cstheme="minorHAnsi"/>
                <w:b/>
                <w:sz w:val="24"/>
                <w:szCs w:val="24"/>
                <w:lang w:val="tr-TR"/>
              </w:rPr>
            </w:pPr>
            <w:r w:rsidRPr="008E4A35">
              <w:rPr>
                <w:rFonts w:eastAsia="Times New Roman" w:cstheme="minorHAnsi"/>
                <w:b/>
                <w:sz w:val="24"/>
                <w:szCs w:val="24"/>
                <w:lang w:val="tr-TR"/>
              </w:rPr>
              <w:t>( 47/1992 )</w:t>
            </w:r>
          </w:p>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p>
        </w:tc>
        <w:tc>
          <w:tcPr>
            <w:tcW w:w="8722" w:type="dxa"/>
            <w:gridSpan w:val="5"/>
          </w:tcPr>
          <w:p w:rsidR="008E4A35" w:rsidRPr="008E4A35" w:rsidRDefault="008E4A35" w:rsidP="008E4A35">
            <w:pPr>
              <w:spacing w:after="0" w:line="240" w:lineRule="auto"/>
              <w:jc w:val="center"/>
              <w:rPr>
                <w:rFonts w:eastAsia="Times New Roman" w:cstheme="minorHAnsi"/>
                <w:b/>
                <w:sz w:val="24"/>
                <w:szCs w:val="24"/>
                <w:lang w:val="tr-TR"/>
              </w:rPr>
            </w:pPr>
            <w:r w:rsidRPr="008E4A35">
              <w:rPr>
                <w:rFonts w:eastAsia="Times New Roman" w:cstheme="minorHAnsi"/>
                <w:b/>
                <w:sz w:val="24"/>
                <w:szCs w:val="24"/>
                <w:lang w:val="tr-TR"/>
              </w:rPr>
              <w:t>Madde 31 (2) Altında Yapılan Emirname</w:t>
            </w:r>
          </w:p>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sz w:val="24"/>
                <w:szCs w:val="24"/>
                <w:lang w:val="tr-TR"/>
              </w:rPr>
            </w:pPr>
          </w:p>
        </w:tc>
        <w:tc>
          <w:tcPr>
            <w:tcW w:w="8722" w:type="dxa"/>
            <w:gridSpan w:val="5"/>
          </w:tcPr>
          <w:p w:rsidR="008E4A35" w:rsidRPr="008E4A35" w:rsidRDefault="008E4A35" w:rsidP="008E4A35">
            <w:pPr>
              <w:spacing w:after="0" w:line="240" w:lineRule="auto"/>
              <w:jc w:val="both"/>
              <w:rPr>
                <w:rFonts w:eastAsia="Times New Roman" w:cstheme="minorHAnsi"/>
                <w:sz w:val="24"/>
                <w:szCs w:val="24"/>
                <w:lang w:val="tr-TR"/>
              </w:rPr>
            </w:pPr>
            <w:r w:rsidRPr="008E4A35">
              <w:rPr>
                <w:rFonts w:eastAsia="Times New Roman" w:cstheme="minorHAnsi"/>
                <w:sz w:val="24"/>
                <w:szCs w:val="24"/>
                <w:lang w:val="tr-TR"/>
              </w:rPr>
              <w:tab/>
            </w:r>
            <w:r w:rsidRPr="008E4A35">
              <w:rPr>
                <w:rFonts w:eastAsia="Times New Roman" w:cstheme="minorHAnsi"/>
                <w:sz w:val="24"/>
                <w:szCs w:val="24"/>
                <w:lang w:val="tr-TR"/>
              </w:rPr>
              <w:tab/>
              <w:t>K.K.T.C. Bakanlar Kurulu, Katma Değer Vergisi Yasası’nın  31’inci maddesinin (2)’nci fıkrasının kendisine verdiği yetkiyi kullanarak, aşağıdaki Emirnameyi yapar.</w:t>
            </w:r>
          </w:p>
          <w:p w:rsidR="008E4A35" w:rsidRPr="008E4A35" w:rsidRDefault="008E4A35" w:rsidP="008E4A35">
            <w:pPr>
              <w:spacing w:after="0" w:line="240" w:lineRule="auto"/>
              <w:jc w:val="both"/>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r w:rsidRPr="008E4A35">
              <w:rPr>
                <w:rFonts w:eastAsia="Times New Roman" w:cstheme="minorHAnsi"/>
                <w:sz w:val="24"/>
                <w:szCs w:val="24"/>
                <w:lang w:val="tr-TR"/>
              </w:rPr>
              <w:t>Kısa İsim</w:t>
            </w: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1.</w:t>
            </w:r>
          </w:p>
        </w:tc>
        <w:tc>
          <w:tcPr>
            <w:tcW w:w="8155" w:type="dxa"/>
            <w:gridSpan w:val="4"/>
          </w:tcPr>
          <w:p w:rsidR="008E4A35" w:rsidRPr="008E4A35" w:rsidRDefault="008E4A35" w:rsidP="008E4A35">
            <w:pPr>
              <w:spacing w:after="0" w:line="240" w:lineRule="auto"/>
              <w:jc w:val="both"/>
              <w:rPr>
                <w:rFonts w:eastAsia="Times New Roman" w:cstheme="minorHAnsi"/>
                <w:sz w:val="24"/>
                <w:szCs w:val="24"/>
                <w:lang w:val="tr-TR"/>
              </w:rPr>
            </w:pPr>
            <w:r w:rsidRPr="008E4A35">
              <w:rPr>
                <w:rFonts w:eastAsia="Times New Roman" w:cstheme="minorHAnsi"/>
                <w:sz w:val="24"/>
                <w:szCs w:val="24"/>
                <w:lang w:val="tr-TR"/>
              </w:rPr>
              <w:t>Bu Emirname, “Amortismana Tabi Ekonomik Kıymetler Üzerindeki Katma Değer Vergisinin İndirim Süresinin Azaltılması Emirnamesi” olarak isimlendirilir.</w:t>
            </w:r>
          </w:p>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r w:rsidRPr="008E4A35">
              <w:rPr>
                <w:rFonts w:eastAsia="Times New Roman" w:cstheme="minorHAnsi"/>
                <w:sz w:val="24"/>
                <w:szCs w:val="24"/>
                <w:lang w:val="tr-TR"/>
              </w:rPr>
              <w:t>Amaç</w:t>
            </w: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2.</w:t>
            </w:r>
          </w:p>
        </w:tc>
        <w:tc>
          <w:tcPr>
            <w:tcW w:w="8155" w:type="dxa"/>
            <w:gridSpan w:val="4"/>
          </w:tcPr>
          <w:p w:rsidR="008E4A35" w:rsidRPr="008E4A35" w:rsidRDefault="008E4A35" w:rsidP="008E4A35">
            <w:pPr>
              <w:spacing w:after="0" w:line="240" w:lineRule="auto"/>
              <w:jc w:val="both"/>
              <w:rPr>
                <w:rFonts w:eastAsia="Times New Roman" w:cstheme="minorHAnsi"/>
                <w:sz w:val="24"/>
                <w:szCs w:val="24"/>
                <w:lang w:val="tr-TR"/>
              </w:rPr>
            </w:pPr>
            <w:r w:rsidRPr="008E4A35">
              <w:rPr>
                <w:rFonts w:eastAsia="Times New Roman" w:cstheme="minorHAnsi"/>
                <w:sz w:val="24"/>
                <w:szCs w:val="24"/>
                <w:lang w:val="tr-TR"/>
              </w:rPr>
              <w:t>Bu Emirnamenin amacı, yatırımlarda kullanılacak amortismana tabi ekonomik kıymetler için yüklenilen vergilerin, Katma Değer Vergisi Yasası’nın 31’inci maddesinin 1’inci fıkrasında belirtilen üç yılda üç eşit miktarda indirilmesi yerine, bir defada indirilmesine olanak verilmek suretiyle, yatırımların teşvik edilmesidir.</w:t>
            </w:r>
          </w:p>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sz w:val="24"/>
                <w:szCs w:val="24"/>
                <w:lang w:val="tr-TR"/>
              </w:rPr>
            </w:pPr>
            <w:r w:rsidRPr="008E4A35">
              <w:rPr>
                <w:rFonts w:eastAsia="Times New Roman" w:cstheme="minorHAnsi"/>
                <w:sz w:val="24"/>
                <w:szCs w:val="24"/>
                <w:lang w:val="tr-TR"/>
              </w:rPr>
              <w:t>İndirimden</w:t>
            </w:r>
          </w:p>
          <w:p w:rsidR="008E4A35" w:rsidRPr="008E4A35" w:rsidRDefault="008E4A35" w:rsidP="008E4A35">
            <w:pPr>
              <w:spacing w:after="0" w:line="240" w:lineRule="auto"/>
              <w:rPr>
                <w:rFonts w:eastAsia="Times New Roman" w:cstheme="minorHAnsi"/>
                <w:b/>
                <w:sz w:val="24"/>
                <w:szCs w:val="24"/>
                <w:lang w:val="tr-TR"/>
              </w:rPr>
            </w:pPr>
            <w:r w:rsidRPr="008E4A35">
              <w:rPr>
                <w:rFonts w:eastAsia="Times New Roman" w:cstheme="minorHAnsi"/>
                <w:sz w:val="24"/>
                <w:szCs w:val="24"/>
                <w:lang w:val="tr-TR"/>
              </w:rPr>
              <w:t>Yararlanma</w:t>
            </w:r>
            <w:r>
              <w:rPr>
                <w:rFonts w:eastAsia="Times New Roman" w:cstheme="minorHAnsi"/>
                <w:sz w:val="24"/>
                <w:szCs w:val="24"/>
                <w:lang w:val="tr-TR"/>
              </w:rPr>
              <w:t>n</w:t>
            </w:r>
            <w:r w:rsidRPr="008E4A35">
              <w:rPr>
                <w:rFonts w:eastAsia="Times New Roman" w:cstheme="minorHAnsi"/>
                <w:sz w:val="24"/>
                <w:szCs w:val="24"/>
                <w:lang w:val="tr-TR"/>
              </w:rPr>
              <w:t>ın</w:t>
            </w:r>
            <w:r>
              <w:rPr>
                <w:rFonts w:eastAsia="Times New Roman" w:cstheme="minorHAnsi"/>
                <w:sz w:val="24"/>
                <w:szCs w:val="24"/>
                <w:lang w:val="tr-TR"/>
              </w:rPr>
              <w:t xml:space="preserve"> </w:t>
            </w:r>
            <w:r w:rsidRPr="008E4A35">
              <w:rPr>
                <w:rFonts w:eastAsia="Times New Roman" w:cstheme="minorHAnsi"/>
                <w:sz w:val="24"/>
                <w:szCs w:val="24"/>
                <w:lang w:val="tr-TR"/>
              </w:rPr>
              <w:t>Usül ve</w:t>
            </w:r>
            <w:r>
              <w:rPr>
                <w:rFonts w:eastAsia="Times New Roman" w:cstheme="minorHAnsi"/>
                <w:sz w:val="24"/>
                <w:szCs w:val="24"/>
                <w:lang w:val="tr-TR"/>
              </w:rPr>
              <w:t xml:space="preserve"> </w:t>
            </w:r>
            <w:r w:rsidRPr="008E4A35">
              <w:rPr>
                <w:rFonts w:eastAsia="Times New Roman" w:cstheme="minorHAnsi"/>
                <w:sz w:val="24"/>
                <w:szCs w:val="24"/>
                <w:lang w:val="tr-TR"/>
              </w:rPr>
              <w:t>Esasları</w:t>
            </w: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3.</w:t>
            </w: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(1)</w:t>
            </w:r>
          </w:p>
        </w:tc>
        <w:tc>
          <w:tcPr>
            <w:tcW w:w="7588" w:type="dxa"/>
            <w:gridSpan w:val="3"/>
          </w:tcPr>
          <w:p w:rsidR="008E4A35" w:rsidRPr="008E4A35" w:rsidRDefault="008E4A35" w:rsidP="008E4A35">
            <w:pPr>
              <w:spacing w:after="0" w:line="240" w:lineRule="auto"/>
              <w:jc w:val="center"/>
              <w:rPr>
                <w:rFonts w:eastAsia="Times New Roman" w:cstheme="minorHAnsi"/>
                <w:sz w:val="24"/>
                <w:szCs w:val="24"/>
                <w:lang w:val="tr-TR"/>
              </w:rPr>
            </w:pPr>
            <w:r w:rsidRPr="008E4A35">
              <w:rPr>
                <w:rFonts w:eastAsia="Times New Roman" w:cstheme="minorHAnsi"/>
                <w:sz w:val="24"/>
                <w:szCs w:val="24"/>
                <w:lang w:val="tr-TR"/>
              </w:rPr>
              <w:t>Kuzey Kıbrıs Türk Cumhuriyeti Kalkınma Plân ve Programlarındaki hedef ve esaslara göre faaliyet gösteren ve Devlet Plânlama Örgütü tarafından teşvik belgesine bağlanması uygun görülen yatırımlarda kullanılacak amortismana bağlı direk üretimde kullanılan ekonomik kıymetlerin Katma Değer Vergisi, bunların aktife girdiği veya kullanılmaya başlandığı vergilendirme döneminde bir defada indirim konusu yapılır.</w:t>
            </w: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(2)</w:t>
            </w:r>
          </w:p>
        </w:tc>
        <w:tc>
          <w:tcPr>
            <w:tcW w:w="7588" w:type="dxa"/>
            <w:gridSpan w:val="3"/>
          </w:tcPr>
          <w:p w:rsidR="008E4A35" w:rsidRPr="008E4A35" w:rsidRDefault="008E4A35" w:rsidP="008E4A35">
            <w:pPr>
              <w:spacing w:after="0" w:line="240" w:lineRule="auto"/>
              <w:jc w:val="both"/>
              <w:rPr>
                <w:rFonts w:eastAsia="Times New Roman" w:cstheme="minorHAnsi"/>
                <w:sz w:val="24"/>
                <w:szCs w:val="24"/>
                <w:lang w:val="tr-TR"/>
              </w:rPr>
            </w:pPr>
            <w:r w:rsidRPr="008E4A35">
              <w:rPr>
                <w:rFonts w:eastAsia="Times New Roman" w:cstheme="minorHAnsi"/>
                <w:sz w:val="24"/>
                <w:szCs w:val="24"/>
                <w:lang w:val="tr-TR"/>
              </w:rPr>
              <w:t>Bu Emirname kurallarından yararlanmak için Devlet Plânlama Örgütü’ne başvuruda bulunarak yapılan veya yapılacak yatırımların, Devlet Plânlama Örgütü tarafından teşvik belgesine bağlanmasının uygun görüldüğünü belirten bir yazı temin edilerek bu yazı ile birlikte yatırımın ilgili bulunduğu Resmi Kurum’a müracaatla teşvik belgesi alınacaktır. Bundan sonra yatırımda kullanılacak amortismana bağlı ekonomik kıymetler için yüklenilen Katma Değer Vergileri bir defada indirim konusu yapılacaktır. Ancak, teşvik belgesinin her yıl yenilenmesi koşuldur. Teşvik belgesinin bir sureti ilgili Gelir ve Vergi Dairesine sunulacaktır.</w:t>
            </w:r>
          </w:p>
          <w:p w:rsidR="008E4A35" w:rsidRPr="008E4A35" w:rsidRDefault="008E4A35" w:rsidP="008E4A35">
            <w:pPr>
              <w:spacing w:after="0" w:line="240" w:lineRule="auto"/>
              <w:rPr>
                <w:rFonts w:eastAsia="Times New Roman" w:cstheme="minorHAnsi"/>
                <w:b/>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4.</w:t>
            </w:r>
          </w:p>
        </w:tc>
        <w:tc>
          <w:tcPr>
            <w:tcW w:w="8155" w:type="dxa"/>
            <w:gridSpan w:val="4"/>
          </w:tcPr>
          <w:p w:rsidR="008E4A35" w:rsidRPr="008E4A35" w:rsidRDefault="008E4A35" w:rsidP="008E4A35">
            <w:pPr>
              <w:spacing w:after="0" w:line="240" w:lineRule="auto"/>
              <w:jc w:val="both"/>
              <w:rPr>
                <w:rFonts w:eastAsia="Times New Roman" w:cstheme="minorHAnsi"/>
                <w:sz w:val="24"/>
                <w:szCs w:val="24"/>
                <w:lang w:val="tr-TR"/>
              </w:rPr>
            </w:pPr>
            <w:r w:rsidRPr="008E4A35">
              <w:rPr>
                <w:rFonts w:eastAsia="Times New Roman" w:cstheme="minorHAnsi"/>
                <w:sz w:val="24"/>
                <w:szCs w:val="24"/>
                <w:lang w:val="tr-TR"/>
              </w:rPr>
              <w:t>Bu Emirnamenin yürürlüğe girmesi ile 5.7.1995 tarih ve 90 sayılı Resmi Gazete’de A.E. 471 olarak yayınlanmış olan Emirname yürürlükten kalkar.</w:t>
            </w:r>
          </w:p>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r w:rsidRPr="008E4A35">
              <w:rPr>
                <w:rFonts w:eastAsia="Times New Roman" w:cstheme="minorHAnsi"/>
                <w:sz w:val="24"/>
                <w:szCs w:val="24"/>
                <w:lang w:val="tr-TR"/>
              </w:rPr>
              <w:t>Yürütme</w:t>
            </w: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5.</w:t>
            </w:r>
          </w:p>
        </w:tc>
        <w:tc>
          <w:tcPr>
            <w:tcW w:w="8155" w:type="dxa"/>
            <w:gridSpan w:val="4"/>
          </w:tcPr>
          <w:p w:rsidR="008E4A35" w:rsidRPr="008E4A35" w:rsidRDefault="008E4A35" w:rsidP="008E4A35">
            <w:pPr>
              <w:spacing w:after="0" w:line="240" w:lineRule="auto"/>
              <w:jc w:val="both"/>
              <w:rPr>
                <w:rFonts w:eastAsia="Times New Roman" w:cstheme="minorHAnsi"/>
                <w:sz w:val="24"/>
                <w:szCs w:val="24"/>
                <w:lang w:val="tr-TR"/>
              </w:rPr>
            </w:pPr>
            <w:r w:rsidRPr="008E4A35">
              <w:rPr>
                <w:rFonts w:eastAsia="Times New Roman" w:cstheme="minorHAnsi"/>
                <w:sz w:val="24"/>
                <w:szCs w:val="24"/>
                <w:lang w:val="tr-TR"/>
              </w:rPr>
              <w:t>Bu Emirname’yi, Maliye İşleri ile ilgili Bakanlık yürütür.</w:t>
            </w:r>
          </w:p>
          <w:p w:rsidR="008E4A35" w:rsidRPr="008E4A35" w:rsidRDefault="008E4A35" w:rsidP="008E4A35">
            <w:pPr>
              <w:spacing w:after="0" w:line="240" w:lineRule="auto"/>
              <w:jc w:val="center"/>
              <w:rPr>
                <w:rFonts w:eastAsia="Times New Roman" w:cstheme="minorHAnsi"/>
                <w:sz w:val="24"/>
                <w:szCs w:val="24"/>
                <w:lang w:val="tr-TR"/>
              </w:rPr>
            </w:pPr>
          </w:p>
        </w:tc>
      </w:tr>
      <w:tr w:rsidR="008E4A35" w:rsidRPr="008E4A35" w:rsidTr="008E4A35">
        <w:tc>
          <w:tcPr>
            <w:tcW w:w="1418" w:type="dxa"/>
          </w:tcPr>
          <w:p w:rsidR="008E4A35" w:rsidRPr="008E4A35" w:rsidRDefault="008E4A35" w:rsidP="008E4A35">
            <w:pPr>
              <w:spacing w:after="0" w:line="240" w:lineRule="auto"/>
              <w:rPr>
                <w:rFonts w:eastAsia="Times New Roman" w:cstheme="minorHAnsi"/>
                <w:b/>
                <w:sz w:val="24"/>
                <w:szCs w:val="24"/>
                <w:lang w:val="tr-TR"/>
              </w:rPr>
            </w:pPr>
            <w:r w:rsidRPr="008E4A35">
              <w:rPr>
                <w:rFonts w:eastAsia="Times New Roman" w:cstheme="minorHAnsi"/>
                <w:sz w:val="24"/>
                <w:szCs w:val="24"/>
                <w:lang w:val="tr-TR"/>
              </w:rPr>
              <w:lastRenderedPageBreak/>
              <w:t>Yürürlüğe Giriş</w:t>
            </w:r>
          </w:p>
        </w:tc>
        <w:tc>
          <w:tcPr>
            <w:tcW w:w="567" w:type="dxa"/>
          </w:tcPr>
          <w:p w:rsidR="008E4A35" w:rsidRPr="008E4A35" w:rsidRDefault="008E4A35" w:rsidP="008E4A35">
            <w:pPr>
              <w:spacing w:after="0" w:line="240" w:lineRule="auto"/>
              <w:jc w:val="right"/>
              <w:rPr>
                <w:rFonts w:eastAsia="Times New Roman" w:cstheme="minorHAnsi"/>
                <w:b/>
                <w:sz w:val="24"/>
                <w:szCs w:val="24"/>
                <w:lang w:val="tr-TR"/>
              </w:rPr>
            </w:pPr>
            <w:r w:rsidRPr="008E4A35">
              <w:rPr>
                <w:rFonts w:eastAsia="Times New Roman" w:cstheme="minorHAnsi"/>
                <w:b/>
                <w:sz w:val="24"/>
                <w:szCs w:val="24"/>
                <w:lang w:val="tr-TR"/>
              </w:rPr>
              <w:t>6.</w:t>
            </w:r>
          </w:p>
        </w:tc>
        <w:tc>
          <w:tcPr>
            <w:tcW w:w="8155" w:type="dxa"/>
            <w:gridSpan w:val="4"/>
          </w:tcPr>
          <w:p w:rsidR="008E4A35" w:rsidRPr="008E4A35" w:rsidRDefault="008E4A35" w:rsidP="008E4A35">
            <w:pPr>
              <w:spacing w:after="0" w:line="240" w:lineRule="auto"/>
              <w:jc w:val="center"/>
              <w:rPr>
                <w:rFonts w:eastAsia="Times New Roman" w:cstheme="minorHAnsi"/>
                <w:sz w:val="24"/>
                <w:szCs w:val="24"/>
                <w:lang w:val="tr-TR"/>
              </w:rPr>
            </w:pPr>
            <w:r w:rsidRPr="008E4A35">
              <w:rPr>
                <w:rFonts w:eastAsia="Times New Roman" w:cstheme="minorHAnsi"/>
                <w:sz w:val="24"/>
                <w:szCs w:val="24"/>
                <w:lang w:val="tr-TR"/>
              </w:rPr>
              <w:t>Bu Emirname, Resmi Gazete’de yayımlandığı tarihten itibaren yürürlüğe girer.</w:t>
            </w:r>
          </w:p>
        </w:tc>
      </w:tr>
    </w:tbl>
    <w:p w:rsidR="008E4A35" w:rsidRPr="008E4A35" w:rsidRDefault="008E4A35" w:rsidP="008E4A35">
      <w:pPr>
        <w:spacing w:after="0" w:line="240" w:lineRule="auto"/>
        <w:rPr>
          <w:rFonts w:eastAsia="Times New Roman" w:cstheme="minorHAnsi"/>
          <w:sz w:val="24"/>
          <w:szCs w:val="24"/>
          <w:lang w:val="tr-TR"/>
        </w:rPr>
      </w:pPr>
    </w:p>
    <w:p w:rsidR="0056090D" w:rsidRPr="008E4A35" w:rsidRDefault="0056090D">
      <w:pPr>
        <w:rPr>
          <w:rFonts w:cstheme="minorHAnsi"/>
        </w:rPr>
      </w:pPr>
    </w:p>
    <w:sectPr w:rsidR="0056090D" w:rsidRPr="008E4A35">
      <w:headerReference w:type="even" r:id="rId7"/>
      <w:headerReference w:type="default" r:id="rId8"/>
      <w:footerReference w:type="even" r:id="rId9"/>
      <w:footerReference w:type="default" r:id="rId10"/>
      <w:headerReference w:type="first" r:id="rId11"/>
      <w:footerReference w:type="first" r:id="rId12"/>
      <w:pgSz w:w="11907" w:h="16840" w:code="9"/>
      <w:pgMar w:top="1418" w:right="1276" w:bottom="1418" w:left="1276" w:header="992" w:footer="9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DD" w:rsidRDefault="00323EDD">
      <w:pPr>
        <w:spacing w:after="0" w:line="240" w:lineRule="auto"/>
      </w:pPr>
      <w:r>
        <w:separator/>
      </w:r>
    </w:p>
  </w:endnote>
  <w:endnote w:type="continuationSeparator" w:id="0">
    <w:p w:rsidR="00323EDD" w:rsidRDefault="0032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5C" w:rsidRDefault="008E4A35" w:rsidP="00DC3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15C" w:rsidRDefault="00323EDD" w:rsidP="00F671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5C" w:rsidRDefault="008E4A35" w:rsidP="00DC32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EDD">
      <w:rPr>
        <w:rStyle w:val="PageNumber"/>
        <w:noProof/>
      </w:rPr>
      <w:t>1</w:t>
    </w:r>
    <w:r>
      <w:rPr>
        <w:rStyle w:val="PageNumber"/>
      </w:rPr>
      <w:fldChar w:fldCharType="end"/>
    </w:r>
  </w:p>
  <w:p w:rsidR="00F6715C" w:rsidRDefault="00323EDD" w:rsidP="00F671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DC" w:rsidRDefault="00323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DD" w:rsidRDefault="00323EDD">
      <w:pPr>
        <w:spacing w:after="0" w:line="240" w:lineRule="auto"/>
      </w:pPr>
      <w:r>
        <w:separator/>
      </w:r>
    </w:p>
  </w:footnote>
  <w:footnote w:type="continuationSeparator" w:id="0">
    <w:p w:rsidR="00323EDD" w:rsidRDefault="00323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DC" w:rsidRDefault="00323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DC" w:rsidRDefault="00323E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DC" w:rsidRDefault="00323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35"/>
    <w:rsid w:val="00323EDD"/>
    <w:rsid w:val="0056090D"/>
    <w:rsid w:val="008E4A35"/>
    <w:rsid w:val="00C2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BE6F2-E9C6-4206-A9E8-D5EA6319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E4A35"/>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E4A35"/>
  </w:style>
  <w:style w:type="paragraph" w:styleId="Header">
    <w:name w:val="header"/>
    <w:basedOn w:val="Normal"/>
    <w:link w:val="HeaderChar"/>
    <w:uiPriority w:val="99"/>
    <w:semiHidden/>
    <w:unhideWhenUsed/>
    <w:rsid w:val="008E4A3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E4A35"/>
  </w:style>
  <w:style w:type="character" w:styleId="PageNumber">
    <w:name w:val="page number"/>
    <w:basedOn w:val="DefaultParagraphFont"/>
    <w:rsid w:val="008E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  UĞURLU</dc:creator>
  <cp:keywords/>
  <dc:description/>
  <cp:lastModifiedBy>YAĞMUR ÖZDİL</cp:lastModifiedBy>
  <cp:revision>2</cp:revision>
  <dcterms:created xsi:type="dcterms:W3CDTF">2021-02-05T07:38:00Z</dcterms:created>
  <dcterms:modified xsi:type="dcterms:W3CDTF">2021-02-05T07:38:00Z</dcterms:modified>
</cp:coreProperties>
</file>