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98" w:rsidRDefault="005C3598">
      <w:pPr>
        <w:spacing w:before="3"/>
        <w:rPr>
          <w:rFonts w:ascii="Times New Roman"/>
          <w:sz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534"/>
        <w:gridCol w:w="533"/>
        <w:gridCol w:w="6184"/>
        <w:gridCol w:w="1894"/>
      </w:tblGrid>
      <w:tr w:rsidR="005C3598">
        <w:trPr>
          <w:trHeight w:val="980"/>
        </w:trPr>
        <w:tc>
          <w:tcPr>
            <w:tcW w:w="9622" w:type="dxa"/>
            <w:gridSpan w:val="5"/>
          </w:tcPr>
          <w:p w:rsidR="005C3598" w:rsidRDefault="007D3BDD">
            <w:pPr>
              <w:pStyle w:val="TableParagraph"/>
              <w:spacing w:line="266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KATMA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DEĞER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VERGİSİ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DİPLOMATİK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İSTİSNA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TÜZÜĞÜ</w:t>
            </w:r>
          </w:p>
          <w:p w:rsidR="005C3598" w:rsidRDefault="007D3BDD"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[</w:t>
            </w:r>
            <w:proofErr w:type="gramEnd"/>
            <w:r>
              <w:rPr>
                <w:sz w:val="24"/>
              </w:rPr>
              <w:t>(5.11.2002-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R.G.107-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A.E.644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Tüzüğün),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(18.5.2006-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R.G.87-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EKIII-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A.E.284)</w:t>
            </w:r>
          </w:p>
          <w:p w:rsidR="005C3598" w:rsidRDefault="007D3BDD">
            <w:pPr>
              <w:pStyle w:val="TableParagraph"/>
              <w:spacing w:before="7"/>
              <w:ind w:left="11" w:righ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sayılı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Tüzükle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Birleştirilmiş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Şekli)</w:t>
            </w:r>
          </w:p>
        </w:tc>
      </w:tr>
      <w:tr w:rsidR="005C3598">
        <w:trPr>
          <w:trHeight w:val="852"/>
        </w:trPr>
        <w:tc>
          <w:tcPr>
            <w:tcW w:w="477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6184" w:type="dxa"/>
          </w:tcPr>
          <w:p w:rsidR="005C3598" w:rsidRDefault="007D3BDD">
            <w:pPr>
              <w:pStyle w:val="TableParagraph"/>
              <w:spacing w:before="142" w:line="247" w:lineRule="auto"/>
              <w:ind w:left="2444" w:right="85" w:hanging="1054"/>
              <w:rPr>
                <w:b/>
                <w:sz w:val="24"/>
              </w:rPr>
            </w:pPr>
            <w:r>
              <w:rPr>
                <w:b/>
                <w:sz w:val="24"/>
              </w:rPr>
              <w:t>KATMA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DEĞER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VERGİSİ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YASASI (47/1992, 8/1998)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705"/>
        </w:trPr>
        <w:tc>
          <w:tcPr>
            <w:tcW w:w="477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6184" w:type="dxa"/>
          </w:tcPr>
          <w:p w:rsidR="005C3598" w:rsidRDefault="007D3BDD">
            <w:pPr>
              <w:pStyle w:val="TableParagraph"/>
              <w:spacing w:before="140"/>
              <w:ind w:left="1412"/>
              <w:rPr>
                <w:b/>
                <w:sz w:val="24"/>
              </w:rPr>
            </w:pPr>
            <w:r>
              <w:rPr>
                <w:b/>
                <w:sz w:val="24"/>
              </w:rPr>
              <w:t>Madde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Altında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Tüzük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1127"/>
        </w:trPr>
        <w:tc>
          <w:tcPr>
            <w:tcW w:w="9622" w:type="dxa"/>
            <w:gridSpan w:val="5"/>
          </w:tcPr>
          <w:p w:rsidR="005C3598" w:rsidRDefault="005C3598">
            <w:pPr>
              <w:pStyle w:val="TableParagraph"/>
              <w:spacing w:before="3"/>
              <w:rPr>
                <w:sz w:val="24"/>
              </w:rPr>
            </w:pPr>
          </w:p>
          <w:p w:rsidR="005C3598" w:rsidRDefault="007D3BDD">
            <w:pPr>
              <w:pStyle w:val="TableParagraph"/>
              <w:spacing w:line="247" w:lineRule="auto"/>
              <w:ind w:left="50" w:firstLine="719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Kuzey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Kıbrıs Türk Cumhuriyeti Bakanlar Kurulu, Katma Değer Vergisi Yasası’nın 15’inci maddesinin (2)’</w:t>
            </w:r>
            <w:proofErr w:type="spellStart"/>
            <w:r>
              <w:rPr>
                <w:sz w:val="24"/>
              </w:rPr>
              <w:t>nci</w:t>
            </w:r>
            <w:proofErr w:type="spellEnd"/>
            <w:r>
              <w:rPr>
                <w:sz w:val="24"/>
              </w:rPr>
              <w:t xml:space="preserve"> fıkrasının kendisine verdiği yetkiyi kullanarak aşağıdaki Tüzüğü yapar.</w:t>
            </w:r>
          </w:p>
        </w:tc>
      </w:tr>
      <w:tr w:rsidR="005C3598">
        <w:trPr>
          <w:trHeight w:val="1132"/>
        </w:trPr>
        <w:tc>
          <w:tcPr>
            <w:tcW w:w="477" w:type="dxa"/>
          </w:tcPr>
          <w:p w:rsidR="005C3598" w:rsidRDefault="005C3598">
            <w:pPr>
              <w:pStyle w:val="TableParagraph"/>
              <w:spacing w:before="13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251" w:type="dxa"/>
            <w:gridSpan w:val="3"/>
          </w:tcPr>
          <w:p w:rsidR="005C3598" w:rsidRDefault="005C3598">
            <w:pPr>
              <w:pStyle w:val="TableParagraph"/>
              <w:spacing w:before="8"/>
              <w:rPr>
                <w:sz w:val="24"/>
              </w:rPr>
            </w:pPr>
          </w:p>
          <w:p w:rsidR="005C3598" w:rsidRDefault="007D3BDD">
            <w:pPr>
              <w:pStyle w:val="TableParagraph"/>
              <w:spacing w:line="247" w:lineRule="auto"/>
              <w:ind w:left="108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“Katma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Vergisi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Diplomatik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İstisna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Tüzüğü”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olarak </w:t>
            </w:r>
            <w:r>
              <w:rPr>
                <w:spacing w:val="-2"/>
                <w:sz w:val="24"/>
              </w:rPr>
              <w:t>isimlendirilir.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spacing w:before="5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49" w:right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Kısa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4"/>
                <w:sz w:val="24"/>
              </w:rPr>
              <w:t>İsim</w:t>
            </w:r>
          </w:p>
        </w:tc>
      </w:tr>
      <w:tr w:rsidR="005C3598">
        <w:trPr>
          <w:trHeight w:val="1416"/>
        </w:trPr>
        <w:tc>
          <w:tcPr>
            <w:tcW w:w="477" w:type="dxa"/>
          </w:tcPr>
          <w:p w:rsidR="005C3598" w:rsidRDefault="005C3598">
            <w:pPr>
              <w:pStyle w:val="TableParagraph"/>
              <w:spacing w:before="13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251" w:type="dxa"/>
            <w:gridSpan w:val="3"/>
          </w:tcPr>
          <w:p w:rsidR="005C3598" w:rsidRDefault="005C3598">
            <w:pPr>
              <w:pStyle w:val="TableParagraph"/>
              <w:spacing w:before="8"/>
              <w:rPr>
                <w:sz w:val="24"/>
              </w:rPr>
            </w:pPr>
          </w:p>
          <w:p w:rsidR="005C3598" w:rsidRDefault="007D3BDD">
            <w:pPr>
              <w:pStyle w:val="TableParagraph"/>
              <w:spacing w:line="247" w:lineRule="auto"/>
              <w:ind w:left="108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Tüzüğün amacı, Diplomatik istisna uygulamasından yararlanacakların ve istisna uygulamasının </w:t>
            </w:r>
            <w:proofErr w:type="spellStart"/>
            <w:r>
              <w:rPr>
                <w:sz w:val="24"/>
              </w:rPr>
              <w:t>usül</w:t>
            </w:r>
            <w:proofErr w:type="spellEnd"/>
            <w:r>
              <w:rPr>
                <w:sz w:val="24"/>
              </w:rPr>
              <w:t xml:space="preserve"> ve esasları ile asgari miktarlarının belirlenmesidir.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spacing w:before="5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49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4"/>
                <w:sz w:val="24"/>
              </w:rPr>
              <w:t>Amaç</w:t>
            </w:r>
          </w:p>
        </w:tc>
      </w:tr>
      <w:tr w:rsidR="005C3598">
        <w:trPr>
          <w:trHeight w:val="2124"/>
        </w:trPr>
        <w:tc>
          <w:tcPr>
            <w:tcW w:w="477" w:type="dxa"/>
          </w:tcPr>
          <w:p w:rsidR="005C3598" w:rsidRDefault="005C3598">
            <w:pPr>
              <w:pStyle w:val="TableParagraph"/>
              <w:spacing w:before="13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7251" w:type="dxa"/>
            <w:gridSpan w:val="3"/>
          </w:tcPr>
          <w:p w:rsidR="005C3598" w:rsidRDefault="005C3598">
            <w:pPr>
              <w:pStyle w:val="TableParagraph"/>
              <w:spacing w:before="8"/>
              <w:rPr>
                <w:sz w:val="24"/>
              </w:rPr>
            </w:pPr>
          </w:p>
          <w:p w:rsidR="005C3598" w:rsidRDefault="007D3BDD">
            <w:pPr>
              <w:pStyle w:val="TableParagraph"/>
              <w:spacing w:before="1" w:line="247" w:lineRule="auto"/>
              <w:ind w:left="108" w:right="122"/>
              <w:jc w:val="both"/>
              <w:rPr>
                <w:sz w:val="24"/>
              </w:rPr>
            </w:pPr>
            <w:r>
              <w:rPr>
                <w:sz w:val="24"/>
              </w:rPr>
              <w:t>İstisnadan yararlanacak olanlar, değiştirilmiş şekliyle Diplomatik Hak, Dokunulmazlık ve Ayrıcalıklar Yasası kuralları kapsamındaki Kuzey Kıbrıs Türk Cumhuriyeti’nde bulunan yabancı Diplomatik Temsilcilikler,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Konsolosluklar ve bunların Diplomatik haklara s</w:t>
            </w:r>
            <w:r>
              <w:rPr>
                <w:sz w:val="24"/>
              </w:rPr>
              <w:t>ahip mensupları ve Bakanlar Kurulu’nun onayladığı Uluslararası Kuruluşlar ve bunların Mensupları yararlanır.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spacing w:before="5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130" w:right="79" w:hanging="4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İstisnadan Yararlanacaklar 28/1983</w:t>
            </w:r>
          </w:p>
          <w:p w:rsidR="005C3598" w:rsidRDefault="007D3BDD">
            <w:pPr>
              <w:pStyle w:val="TableParagraph"/>
              <w:ind w:left="49" w:right="4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75/1991</w:t>
            </w:r>
          </w:p>
        </w:tc>
      </w:tr>
      <w:tr w:rsidR="005C3598">
        <w:trPr>
          <w:trHeight w:val="994"/>
        </w:trPr>
        <w:tc>
          <w:tcPr>
            <w:tcW w:w="477" w:type="dxa"/>
          </w:tcPr>
          <w:p w:rsidR="005C3598" w:rsidRDefault="005C3598">
            <w:pPr>
              <w:pStyle w:val="TableParagraph"/>
              <w:spacing w:before="13"/>
              <w:rPr>
                <w:sz w:val="24"/>
              </w:rPr>
            </w:pPr>
          </w:p>
          <w:p w:rsidR="005C3598" w:rsidRDefault="00774C02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7D3B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34" w:type="dxa"/>
          </w:tcPr>
          <w:p w:rsidR="005C3598" w:rsidRDefault="005C3598">
            <w:pPr>
              <w:pStyle w:val="TableParagraph"/>
              <w:spacing w:before="13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8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6717" w:type="dxa"/>
            <w:gridSpan w:val="2"/>
          </w:tcPr>
          <w:p w:rsidR="005C3598" w:rsidRDefault="005C3598">
            <w:pPr>
              <w:pStyle w:val="TableParagraph"/>
              <w:spacing w:before="8"/>
              <w:rPr>
                <w:sz w:val="24"/>
              </w:rPr>
            </w:pPr>
          </w:p>
          <w:p w:rsidR="005C3598" w:rsidRDefault="007D3BDD">
            <w:pPr>
              <w:pStyle w:val="TableParagraph"/>
              <w:spacing w:before="1" w:line="247" w:lineRule="auto"/>
              <w:ind w:left="106" w:right="129"/>
              <w:rPr>
                <w:sz w:val="24"/>
              </w:rPr>
            </w:pPr>
            <w:r>
              <w:rPr>
                <w:sz w:val="24"/>
              </w:rPr>
              <w:t>İstisna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kapsamına,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teslimleri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(2)’</w:t>
            </w:r>
            <w:proofErr w:type="spellStart"/>
            <w:r>
              <w:rPr>
                <w:sz w:val="24"/>
              </w:rPr>
              <w:t>nci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fıkrada belirtilen hizmet ifaları </w:t>
            </w:r>
            <w:proofErr w:type="gramStart"/>
            <w:r>
              <w:rPr>
                <w:sz w:val="24"/>
              </w:rPr>
              <w:t>dahildir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spacing w:before="5"/>
              <w:rPr>
                <w:sz w:val="24"/>
              </w:rPr>
            </w:pPr>
          </w:p>
          <w:p w:rsidR="005C3598" w:rsidRDefault="007D3BDD">
            <w:pPr>
              <w:pStyle w:val="TableParagraph"/>
              <w:ind w:left="495" w:hanging="3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85"/>
                <w:sz w:val="24"/>
              </w:rPr>
              <w:t xml:space="preserve">İstisnanın </w:t>
            </w:r>
            <w:r>
              <w:rPr>
                <w:rFonts w:ascii="Arial MT" w:hAnsi="Arial MT"/>
                <w:spacing w:val="-2"/>
                <w:sz w:val="24"/>
              </w:rPr>
              <w:t>Kapsamı</w:t>
            </w:r>
          </w:p>
        </w:tc>
      </w:tr>
      <w:tr w:rsidR="005C3598">
        <w:trPr>
          <w:trHeight w:val="849"/>
        </w:trPr>
        <w:tc>
          <w:tcPr>
            <w:tcW w:w="477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145"/>
              <w:ind w:left="80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533" w:type="dxa"/>
          </w:tcPr>
          <w:p w:rsidR="005C3598" w:rsidRDefault="007D3BDD">
            <w:pPr>
              <w:pStyle w:val="TableParagraph"/>
              <w:spacing w:before="145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6184" w:type="dxa"/>
          </w:tcPr>
          <w:p w:rsidR="005C3598" w:rsidRDefault="007D3BDD">
            <w:pPr>
              <w:pStyle w:val="TableParagraph"/>
              <w:spacing w:before="140" w:line="247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Otel,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Motel,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Pansiyon,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Lokanta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Pastane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yerlerde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yapılan teslim ve hizmetler,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982"/>
        </w:trPr>
        <w:tc>
          <w:tcPr>
            <w:tcW w:w="477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5C3598" w:rsidRDefault="007D3BDD">
            <w:pPr>
              <w:pStyle w:val="TableParagraph"/>
              <w:spacing w:before="145"/>
              <w:ind w:left="42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6184" w:type="dxa"/>
          </w:tcPr>
          <w:p w:rsidR="005C3598" w:rsidRDefault="007D3BDD">
            <w:pPr>
              <w:pStyle w:val="TableParagraph"/>
              <w:spacing w:before="122" w:line="280" w:lineRule="atLeast"/>
              <w:ind w:left="109" w:right="130"/>
              <w:jc w:val="both"/>
              <w:rPr>
                <w:sz w:val="24"/>
              </w:rPr>
            </w:pPr>
            <w:r>
              <w:rPr>
                <w:sz w:val="24"/>
              </w:rPr>
              <w:t>Diplomatik Temsilcilik ve Konsolosluk ile Uluslararası Kuruluşlara ait hizmet binalarına ve bunların mensuplarının ikamet ettiği konutlara verilen elektrik, telefon, su teslim ve</w:t>
            </w:r>
          </w:p>
        </w:tc>
        <w:tc>
          <w:tcPr>
            <w:tcW w:w="189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</w:tbl>
    <w:p w:rsidR="005C3598" w:rsidRDefault="005C3598">
      <w:pPr>
        <w:pStyle w:val="TableParagraph"/>
        <w:rPr>
          <w:sz w:val="24"/>
        </w:rPr>
        <w:sectPr w:rsidR="005C3598">
          <w:type w:val="continuous"/>
          <w:pgSz w:w="11910" w:h="16850"/>
          <w:pgMar w:top="1940" w:right="850" w:bottom="280" w:left="1275" w:header="720" w:footer="720" w:gutter="0"/>
          <w:cols w:space="720"/>
        </w:sectPr>
      </w:pPr>
    </w:p>
    <w:p w:rsidR="005C3598" w:rsidRDefault="005C3598">
      <w:pPr>
        <w:spacing w:before="6"/>
        <w:rPr>
          <w:rFonts w:ascii="Times New Roman"/>
          <w:sz w:val="2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514"/>
        <w:gridCol w:w="534"/>
        <w:gridCol w:w="6336"/>
        <w:gridCol w:w="1405"/>
      </w:tblGrid>
      <w:tr w:rsidR="005C3598">
        <w:trPr>
          <w:trHeight w:val="1407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47" w:lineRule="auto"/>
              <w:ind w:left="107" w:right="2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hizmetleri</w:t>
            </w:r>
            <w:proofErr w:type="gramEnd"/>
            <w:r>
              <w:rPr>
                <w:sz w:val="24"/>
              </w:rPr>
              <w:t xml:space="preserve"> (Kamu kurum ve kuruluşları tarafından tahsil</w:t>
            </w:r>
            <w:r>
              <w:rPr>
                <w:sz w:val="24"/>
              </w:rPr>
              <w:t>atı yapılan elektrik, telefon ve su teslim faturalarında Katma Değer Vergisine yer verilmeyecek ve tahsil edilmeyecektir.) ile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binalarının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inşası,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tadili,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onarımı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ile</w:t>
            </w:r>
          </w:p>
          <w:p w:rsidR="005C3598" w:rsidRDefault="007D3BDD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temizlenmesine</w:t>
            </w:r>
            <w:proofErr w:type="gramEnd"/>
            <w:r>
              <w:rPr>
                <w:sz w:val="24"/>
              </w:rPr>
              <w:t xml:space="preserve"> ilişkin teslim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566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3"/>
              <w:ind w:left="80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(c)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Resmi ve Diplomatik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mensuplarına ait </w:t>
            </w:r>
            <w:r>
              <w:rPr>
                <w:spacing w:val="-2"/>
                <w:sz w:val="24"/>
              </w:rPr>
              <w:t>araçların</w:t>
            </w:r>
          </w:p>
          <w:p w:rsidR="005C3598" w:rsidRDefault="007D3BDD">
            <w:pPr>
              <w:pStyle w:val="TableParagraph"/>
              <w:spacing w:before="7"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bakım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566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3"/>
              <w:ind w:left="8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(d)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tabs>
                <w:tab w:val="left" w:pos="968"/>
                <w:tab w:val="left" w:pos="2794"/>
                <w:tab w:val="left" w:pos="4210"/>
                <w:tab w:val="left" w:pos="5215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Resmi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gereksinmelerde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kullanılacak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motorlu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araçların</w:t>
            </w:r>
          </w:p>
          <w:p w:rsidR="005C3598" w:rsidRDefault="007D3BDD">
            <w:pPr>
              <w:pStyle w:val="TableParagraph"/>
              <w:spacing w:before="7"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kiralanması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849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3"/>
              <w:ind w:left="80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(e)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gereksinmelerde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kullanılacak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belge,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basılı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kâğıt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:rsidR="005C3598" w:rsidRDefault="007D3BDD">
            <w:pPr>
              <w:pStyle w:val="TableParagraph"/>
              <w:spacing w:line="28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dökümanlar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neşriyata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ilişkin,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yayınevleri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matbaalar tarafından yapılan teslim ve hizmetler,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285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3" w:line="262" w:lineRule="exact"/>
              <w:ind w:left="8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(f)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kuruluşlardan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sağlanacak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hizmatleri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</w:tr>
      <w:tr w:rsidR="005C3598">
        <w:trPr>
          <w:trHeight w:val="564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1"/>
              <w:ind w:left="80" w:right="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(g)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gereksinmelerde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kullanılacak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eşyanın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bakım</w:t>
            </w:r>
          </w:p>
          <w:p w:rsidR="005C3598" w:rsidRDefault="007D3BDD">
            <w:pPr>
              <w:pStyle w:val="TableParagraph"/>
              <w:spacing w:before="7" w:line="26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ve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onarım </w:t>
            </w:r>
            <w:r>
              <w:rPr>
                <w:spacing w:val="-2"/>
                <w:sz w:val="24"/>
              </w:rPr>
              <w:t>hizmetleri,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566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3"/>
              <w:ind w:left="8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(h)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Paketleme,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depolama,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gümrükleme,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taşımacılık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Kuzey</w:t>
            </w:r>
          </w:p>
          <w:p w:rsidR="005C3598" w:rsidRDefault="007D3BDD">
            <w:pPr>
              <w:pStyle w:val="TableParagraph"/>
              <w:spacing w:before="7"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Kıbrıs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Cumhuriyeti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sınırları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içindeki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seyahat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285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3" w:line="262" w:lineRule="exact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(i)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Sergileme,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tanıtım</w:t>
            </w:r>
            <w:r>
              <w:rPr>
                <w:spacing w:val="-2"/>
                <w:sz w:val="24"/>
              </w:rPr>
              <w:t xml:space="preserve"> hizmetleri,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</w:tr>
      <w:tr w:rsidR="005C3598">
        <w:trPr>
          <w:trHeight w:val="283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1" w:line="262" w:lineRule="exact"/>
              <w:ind w:left="8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(j)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Güvenlik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hizmetleri,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</w:tr>
      <w:tr w:rsidR="005C3598">
        <w:trPr>
          <w:trHeight w:val="283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:rsidR="005C3598" w:rsidRDefault="007D3BDD">
            <w:pPr>
              <w:pStyle w:val="TableParagraph"/>
              <w:spacing w:before="1" w:line="262" w:lineRule="exact"/>
              <w:ind w:left="80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(k)</w:t>
            </w:r>
          </w:p>
        </w:tc>
        <w:tc>
          <w:tcPr>
            <w:tcW w:w="6336" w:type="dxa"/>
          </w:tcPr>
          <w:p w:rsidR="005C3598" w:rsidRDefault="007D3BD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hizmetleri.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0"/>
              </w:rPr>
            </w:pPr>
          </w:p>
        </w:tc>
      </w:tr>
      <w:tr w:rsidR="005C3598">
        <w:trPr>
          <w:trHeight w:val="702"/>
        </w:trPr>
        <w:tc>
          <w:tcPr>
            <w:tcW w:w="9147" w:type="dxa"/>
            <w:gridSpan w:val="5"/>
          </w:tcPr>
          <w:p w:rsidR="005C3598" w:rsidRDefault="007D3BDD">
            <w:pPr>
              <w:pStyle w:val="TableParagraph"/>
              <w:tabs>
                <w:tab w:val="left" w:pos="2977"/>
                <w:tab w:val="left" w:pos="4045"/>
                <w:tab w:val="left" w:pos="4834"/>
                <w:tab w:val="left" w:pos="5261"/>
              </w:tabs>
              <w:spacing w:line="247" w:lineRule="auto"/>
              <w:ind w:left="978" w:right="1688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Yukarıdaki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belirtilen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teslim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ve</w:t>
            </w:r>
            <w:r>
              <w:rPr>
                <w:sz w:val="24"/>
              </w:rPr>
              <w:tab/>
              <w:t>hizmetlerin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doğrudan hizmet binalarına veya mensuplarına yapılması koşuldur.</w:t>
            </w:r>
          </w:p>
        </w:tc>
      </w:tr>
      <w:tr w:rsidR="005C3598">
        <w:trPr>
          <w:trHeight w:val="6092"/>
        </w:trPr>
        <w:tc>
          <w:tcPr>
            <w:tcW w:w="358" w:type="dxa"/>
          </w:tcPr>
          <w:p w:rsidR="005C3598" w:rsidRDefault="00774C02">
            <w:pPr>
              <w:pStyle w:val="TableParagraph"/>
              <w:spacing w:before="148"/>
              <w:ind w:left="50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7D3B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514" w:type="dxa"/>
          </w:tcPr>
          <w:p w:rsidR="005C3598" w:rsidRDefault="007D3BDD">
            <w:pPr>
              <w:pStyle w:val="TableParagraph"/>
              <w:spacing w:before="148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(a)</w:t>
            </w:r>
          </w:p>
        </w:tc>
        <w:tc>
          <w:tcPr>
            <w:tcW w:w="6870" w:type="dxa"/>
            <w:gridSpan w:val="2"/>
          </w:tcPr>
          <w:p w:rsidR="005C3598" w:rsidRDefault="007D3BDD">
            <w:pPr>
              <w:pStyle w:val="TableParagraph"/>
              <w:spacing w:before="143" w:line="247" w:lineRule="auto"/>
              <w:ind w:left="106" w:right="276"/>
              <w:jc w:val="both"/>
              <w:rPr>
                <w:sz w:val="24"/>
              </w:rPr>
            </w:pPr>
            <w:r>
              <w:rPr>
                <w:sz w:val="24"/>
              </w:rPr>
              <w:t>Katma Değer Vergisi istisnasından yararlanmak isteyen Kuzey Kıbrıs Türk Cumhuriyeti’ndeki Diplomatik Temsilcilik, Konsolosluk ve Uluslararası Kuruluşlar, işlemi yapacak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işletmeden, re</w:t>
            </w:r>
            <w:r>
              <w:rPr>
                <w:sz w:val="24"/>
              </w:rPr>
              <w:t xml:space="preserve">smi gereksinmelerinde kullanacakları mal ve hizmetlere Katma Değer Vergisinin uygulanmamasını bir yazı ile talep edecekler ve talep ettikleri mal ve hizmetleri açıkça beyan </w:t>
            </w:r>
            <w:r>
              <w:rPr>
                <w:spacing w:val="-2"/>
                <w:sz w:val="24"/>
              </w:rPr>
              <w:t>edeceklerdir.</w:t>
            </w:r>
          </w:p>
          <w:p w:rsidR="005C3598" w:rsidRDefault="007D3BDD">
            <w:pPr>
              <w:pStyle w:val="TableParagraph"/>
              <w:spacing w:line="247" w:lineRule="auto"/>
              <w:ind w:left="106" w:right="282" w:firstLine="720"/>
              <w:jc w:val="both"/>
              <w:rPr>
                <w:sz w:val="24"/>
              </w:rPr>
            </w:pPr>
            <w:r>
              <w:rPr>
                <w:sz w:val="24"/>
              </w:rPr>
              <w:t>Uluslararası Kuruluşlar yapacakları başvuruda, ilgili Uluslararası an</w:t>
            </w:r>
            <w:r>
              <w:rPr>
                <w:sz w:val="24"/>
              </w:rPr>
              <w:t xml:space="preserve">laşmaya atıfta bulunmak suretiyle kuruluşlarının vergi istisnasından yararlanma hakkına sahip olduğunu </w:t>
            </w:r>
            <w:r>
              <w:rPr>
                <w:spacing w:val="-2"/>
                <w:sz w:val="24"/>
              </w:rPr>
              <w:t>belirteceklerdir.</w:t>
            </w:r>
          </w:p>
          <w:p w:rsidR="005C3598" w:rsidRDefault="007D3BDD">
            <w:pPr>
              <w:pStyle w:val="TableParagraph"/>
              <w:spacing w:line="247" w:lineRule="auto"/>
              <w:ind w:left="106" w:right="275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Diplomatik Temsilcilik ve Konsolosluk mensupları, Kuzey Kıbrıs Türk Cumhuriyeti Dışişleri Bakanlığı’nca kendilerine verilen ve istisna </w:t>
            </w:r>
            <w:r>
              <w:rPr>
                <w:sz w:val="24"/>
              </w:rPr>
              <w:t xml:space="preserve">hakkına haiz olduğunu gösteren kartı ibraz </w:t>
            </w:r>
            <w:r>
              <w:rPr>
                <w:spacing w:val="-2"/>
                <w:sz w:val="24"/>
              </w:rPr>
              <w:t>edeceklerdir.</w:t>
            </w:r>
          </w:p>
          <w:p w:rsidR="005C3598" w:rsidRDefault="007D3BDD">
            <w:pPr>
              <w:pStyle w:val="TableParagraph"/>
              <w:spacing w:line="247" w:lineRule="auto"/>
              <w:ind w:left="106" w:right="282" w:firstLine="720"/>
              <w:jc w:val="both"/>
              <w:rPr>
                <w:sz w:val="24"/>
              </w:rPr>
            </w:pPr>
            <w:r>
              <w:rPr>
                <w:sz w:val="24"/>
              </w:rPr>
              <w:t>Satıcı, bu satış işlemi ile ilgili olarak düzenleyeceği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faturada KDV gösterecek fakat tahsil etmeyecektir. Bu faturaya ait defter kayıtları ve KDV Beyannamesinde, vergi tahsil edilmiş gibi işlem yapılacak ve ayni zamanda indirim konusu yapılacaktır.</w:t>
            </w:r>
          </w:p>
          <w:p w:rsidR="005C3598" w:rsidRDefault="007D3BDD">
            <w:pPr>
              <w:pStyle w:val="TableParagraph"/>
              <w:spacing w:line="272" w:lineRule="exact"/>
              <w:ind w:left="826"/>
              <w:jc w:val="both"/>
              <w:rPr>
                <w:sz w:val="24"/>
              </w:rPr>
            </w:pPr>
            <w:r>
              <w:rPr>
                <w:sz w:val="24"/>
              </w:rPr>
              <w:t>İndirilemeyen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vergiler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32’nci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madde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altında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düzenlenmiş</w:t>
            </w:r>
          </w:p>
          <w:p w:rsidR="005C3598" w:rsidRDefault="007D3BDD">
            <w:pPr>
              <w:pStyle w:val="TableParagraph"/>
              <w:spacing w:line="265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olan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üzük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kurallarına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satıcıya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edilir.</w:t>
            </w:r>
          </w:p>
        </w:tc>
        <w:tc>
          <w:tcPr>
            <w:tcW w:w="1405" w:type="dxa"/>
          </w:tcPr>
          <w:p w:rsidR="00774C02" w:rsidRDefault="007D3BDD">
            <w:pPr>
              <w:pStyle w:val="TableParagraph"/>
              <w:spacing w:before="139"/>
              <w:ind w:left="277" w:right="46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90"/>
                <w:sz w:val="24"/>
              </w:rPr>
              <w:t xml:space="preserve">Uygulama </w:t>
            </w:r>
            <w:r>
              <w:rPr>
                <w:rFonts w:ascii="Arial MT" w:hAnsi="Arial MT"/>
                <w:w w:val="85"/>
                <w:sz w:val="24"/>
              </w:rPr>
              <w:t>İle</w:t>
            </w:r>
            <w:r>
              <w:rPr>
                <w:rFonts w:ascii="Arial MT" w:hAnsi="Arial MT"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5"/>
                <w:sz w:val="24"/>
              </w:rPr>
              <w:t xml:space="preserve">İlgili </w:t>
            </w:r>
            <w:r>
              <w:rPr>
                <w:rFonts w:ascii="Arial MT" w:hAnsi="Arial MT"/>
                <w:spacing w:val="-2"/>
                <w:w w:val="90"/>
                <w:sz w:val="24"/>
              </w:rPr>
              <w:t>İşlemler</w:t>
            </w:r>
          </w:p>
          <w:p w:rsidR="005C3598" w:rsidRPr="00774C02" w:rsidRDefault="005C3598" w:rsidP="00774C02">
            <w:pPr>
              <w:jc w:val="center"/>
            </w:pPr>
          </w:p>
        </w:tc>
      </w:tr>
      <w:tr w:rsidR="005C3598">
        <w:trPr>
          <w:trHeight w:val="1690"/>
        </w:trPr>
        <w:tc>
          <w:tcPr>
            <w:tcW w:w="35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514" w:type="dxa"/>
          </w:tcPr>
          <w:p w:rsidR="005C3598" w:rsidRDefault="007D3BDD">
            <w:pPr>
              <w:pStyle w:val="TableParagraph"/>
              <w:spacing w:before="3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(b)</w:t>
            </w:r>
          </w:p>
        </w:tc>
        <w:tc>
          <w:tcPr>
            <w:tcW w:w="6870" w:type="dxa"/>
            <w:gridSpan w:val="2"/>
          </w:tcPr>
          <w:p w:rsidR="005C3598" w:rsidRDefault="007D3BDD">
            <w:pPr>
              <w:pStyle w:val="TableParagraph"/>
              <w:spacing w:line="247" w:lineRule="auto"/>
              <w:ind w:left="106" w:right="281"/>
              <w:jc w:val="both"/>
              <w:rPr>
                <w:sz w:val="24"/>
              </w:rPr>
            </w:pPr>
            <w:r>
              <w:rPr>
                <w:sz w:val="24"/>
              </w:rPr>
              <w:t>Katma Değer Vergisi Yasası’nın 32’nci maddesinin vermiş olduğu yetkiye istinaden, Diplomatik Temsilcilik, Konsolosluk ve Uluslararası kuruluşların mensupları, kişisel gereksinimleri için ödedikleri Katma Değer Vergilerini, ödemeye konu fatura ve benzeri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z w:val="24"/>
              </w:rPr>
              <w:t>lgeleri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yılın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ayı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başlangıç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olmak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Ocak,</w:t>
            </w:r>
          </w:p>
          <w:p w:rsidR="005C3598" w:rsidRDefault="007D3BDD">
            <w:pPr>
              <w:pStyle w:val="TableParagraph"/>
              <w:spacing w:line="25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Nisan,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Temmuz,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Ekim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dönemleri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ve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üçer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aylık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dönemler</w:t>
            </w:r>
          </w:p>
        </w:tc>
        <w:tc>
          <w:tcPr>
            <w:tcW w:w="1405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</w:tbl>
    <w:p w:rsidR="005C3598" w:rsidRDefault="005C3598">
      <w:pPr>
        <w:pStyle w:val="TableParagraph"/>
        <w:rPr>
          <w:sz w:val="24"/>
        </w:rPr>
        <w:sectPr w:rsidR="005C3598">
          <w:pgSz w:w="11910" w:h="16850"/>
          <w:pgMar w:top="1400" w:right="850" w:bottom="280" w:left="1275" w:header="720" w:footer="720" w:gutter="0"/>
          <w:cols w:space="720"/>
        </w:sectPr>
      </w:pPr>
    </w:p>
    <w:p w:rsidR="005C3598" w:rsidRDefault="005C3598">
      <w:pPr>
        <w:spacing w:before="6"/>
        <w:rPr>
          <w:rFonts w:ascii="Times New Roman"/>
          <w:sz w:val="2"/>
        </w:rPr>
      </w:pPr>
    </w:p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7363"/>
        <w:gridCol w:w="1521"/>
      </w:tblGrid>
      <w:tr w:rsidR="005C3598">
        <w:trPr>
          <w:trHeight w:val="3812"/>
        </w:trPr>
        <w:tc>
          <w:tcPr>
            <w:tcW w:w="338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  <w:tc>
          <w:tcPr>
            <w:tcW w:w="7363" w:type="dxa"/>
          </w:tcPr>
          <w:p w:rsidR="005C3598" w:rsidRDefault="007D3BDD">
            <w:pPr>
              <w:pStyle w:val="TableParagraph"/>
              <w:spacing w:line="247" w:lineRule="auto"/>
              <w:ind w:left="640" w:right="2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itibarıyle</w:t>
            </w:r>
            <w:proofErr w:type="spellEnd"/>
            <w:r>
              <w:rPr>
                <w:sz w:val="24"/>
              </w:rPr>
              <w:t>, ödemenin yapıldığı üç aylık dönemi izleyen 7 (yedi)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 içinde, bir cetvel ekinde bağlı bulundukları misyona bildirmek suretiyle,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izleyen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(yedi)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misyon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onayını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ihtiva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bir cetvele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bağlanarak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misyon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aracılığı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Maliye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Bakanlığı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Gelir ve Vergi Dairesi’ne toplu olarak beyan ederek iad</w:t>
            </w:r>
            <w:r>
              <w:rPr>
                <w:sz w:val="24"/>
              </w:rPr>
              <w:t xml:space="preserve">e talebinde </w:t>
            </w:r>
            <w:r>
              <w:rPr>
                <w:spacing w:val="-2"/>
                <w:sz w:val="24"/>
              </w:rPr>
              <w:t>bulunabilirler.</w:t>
            </w:r>
          </w:p>
          <w:p w:rsidR="005C3598" w:rsidRDefault="007D3BDD">
            <w:pPr>
              <w:pStyle w:val="TableParagraph"/>
              <w:spacing w:line="247" w:lineRule="auto"/>
              <w:ind w:left="640" w:right="239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Gelir ve Vergi Dairesi iade talebine konu cetvelin alınmasını takiben gerekli incelemeyi yaptıktan sonra, iade edilmesi gereken miktarı saptayarak, iadeyi, cetvelin alındığı ayın en geç sonuna kadar ilgili </w:t>
            </w:r>
            <w:proofErr w:type="gramStart"/>
            <w:r>
              <w:rPr>
                <w:sz w:val="24"/>
              </w:rPr>
              <w:t>misyona</w:t>
            </w:r>
            <w:proofErr w:type="gramEnd"/>
            <w:r>
              <w:rPr>
                <w:sz w:val="24"/>
              </w:rPr>
              <w:t xml:space="preserve"> topluca yapar.</w:t>
            </w:r>
          </w:p>
          <w:p w:rsidR="005C3598" w:rsidRDefault="007D3BDD">
            <w:pPr>
              <w:pStyle w:val="TableParagraph"/>
              <w:spacing w:line="247" w:lineRule="auto"/>
              <w:ind w:left="640" w:right="239" w:firstLine="720"/>
              <w:jc w:val="both"/>
              <w:rPr>
                <w:sz w:val="24"/>
              </w:rPr>
            </w:pPr>
            <w:r>
              <w:rPr>
                <w:sz w:val="24"/>
              </w:rPr>
              <w:t>İadeye konu olacak fatura 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serbest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makbuzlarında tahsil edilen katma değer vergisinin ayrıca hesaplanarak gösterilmesi asıldır.</w:t>
            </w:r>
          </w:p>
        </w:tc>
        <w:tc>
          <w:tcPr>
            <w:tcW w:w="1521" w:type="dxa"/>
          </w:tcPr>
          <w:p w:rsidR="005C3598" w:rsidRDefault="005C3598">
            <w:pPr>
              <w:pStyle w:val="TableParagraph"/>
              <w:rPr>
                <w:sz w:val="24"/>
              </w:rPr>
            </w:pPr>
          </w:p>
        </w:tc>
      </w:tr>
      <w:tr w:rsidR="005C3598">
        <w:trPr>
          <w:trHeight w:val="568"/>
        </w:trPr>
        <w:tc>
          <w:tcPr>
            <w:tcW w:w="338" w:type="dxa"/>
          </w:tcPr>
          <w:p w:rsidR="005C3598" w:rsidRDefault="00774C02">
            <w:pPr>
              <w:pStyle w:val="TableParagraph"/>
              <w:spacing w:before="148"/>
              <w:ind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7D3B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7363" w:type="dxa"/>
          </w:tcPr>
          <w:p w:rsidR="005C3598" w:rsidRDefault="007D3BDD"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Tüzüğü,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Maliye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Bakanlık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yürütür.</w:t>
            </w:r>
          </w:p>
        </w:tc>
        <w:tc>
          <w:tcPr>
            <w:tcW w:w="1521" w:type="dxa"/>
          </w:tcPr>
          <w:p w:rsidR="005C3598" w:rsidRDefault="007D3BDD">
            <w:pPr>
              <w:pStyle w:val="TableParagraph"/>
              <w:spacing w:before="139"/>
              <w:ind w:left="40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Yürütme</w:t>
            </w:r>
          </w:p>
        </w:tc>
      </w:tr>
      <w:tr w:rsidR="005C3598">
        <w:trPr>
          <w:trHeight w:val="1130"/>
        </w:trPr>
        <w:tc>
          <w:tcPr>
            <w:tcW w:w="338" w:type="dxa"/>
          </w:tcPr>
          <w:p w:rsidR="005C3598" w:rsidRDefault="00774C02">
            <w:pPr>
              <w:pStyle w:val="TableParagraph"/>
              <w:spacing w:before="145"/>
              <w:ind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  <w:r w:rsidR="007D3B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7363" w:type="dxa"/>
          </w:tcPr>
          <w:p w:rsidR="005C3598" w:rsidRDefault="007D3BDD">
            <w:pPr>
              <w:pStyle w:val="TableParagraph"/>
              <w:spacing w:before="140" w:line="247" w:lineRule="auto"/>
              <w:ind w:left="107" w:right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Bu Tüzüğün yürürlüğe girmesi </w:t>
            </w:r>
            <w:proofErr w:type="gramStart"/>
            <w:r>
              <w:rPr>
                <w:sz w:val="24"/>
              </w:rPr>
              <w:t>ile,</w:t>
            </w:r>
            <w:proofErr w:type="gramEnd"/>
            <w:r>
              <w:rPr>
                <w:sz w:val="24"/>
              </w:rPr>
              <w:t xml:space="preserve"> 11.08.1999, R.G.101, A.E.485 ve 23.05.2000, R.G.63, A.E.337 altında yayımlanmış olan Tüzükler yürürlükten kalkar.</w:t>
            </w:r>
          </w:p>
        </w:tc>
        <w:tc>
          <w:tcPr>
            <w:tcW w:w="1521" w:type="dxa"/>
          </w:tcPr>
          <w:p w:rsidR="005C3598" w:rsidRDefault="007D3BDD">
            <w:pPr>
              <w:pStyle w:val="TableParagraph"/>
              <w:spacing w:before="137"/>
              <w:ind w:left="378" w:hanging="13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Yürürlükten Kaldırma</w:t>
            </w:r>
          </w:p>
        </w:tc>
      </w:tr>
      <w:tr w:rsidR="005C3598">
        <w:trPr>
          <w:trHeight w:val="702"/>
        </w:trPr>
        <w:tc>
          <w:tcPr>
            <w:tcW w:w="338" w:type="dxa"/>
          </w:tcPr>
          <w:p w:rsidR="005C3598" w:rsidRDefault="00774C02">
            <w:pPr>
              <w:pStyle w:val="TableParagraph"/>
              <w:spacing w:before="148"/>
              <w:ind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  <w:r w:rsidR="007D3BDD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7363" w:type="dxa"/>
          </w:tcPr>
          <w:p w:rsidR="005C3598" w:rsidRDefault="007D3BDD">
            <w:pPr>
              <w:pStyle w:val="TableParagraph"/>
              <w:spacing w:before="122" w:line="28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Gazete’de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yayımlandığı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tarihten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itibaren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yürürlüğe </w:t>
            </w:r>
            <w:r>
              <w:rPr>
                <w:spacing w:val="-2"/>
                <w:sz w:val="24"/>
              </w:rPr>
              <w:t>girer.</w:t>
            </w:r>
          </w:p>
        </w:tc>
        <w:tc>
          <w:tcPr>
            <w:tcW w:w="1521" w:type="dxa"/>
          </w:tcPr>
          <w:p w:rsidR="005C3598" w:rsidRDefault="007D3BDD">
            <w:pPr>
              <w:pStyle w:val="TableParagraph"/>
              <w:spacing w:before="130" w:line="270" w:lineRule="atLeast"/>
              <w:ind w:left="613" w:right="141" w:hanging="274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w w:val="90"/>
                <w:sz w:val="24"/>
              </w:rPr>
              <w:t xml:space="preserve">Yürürlüğe </w:t>
            </w:r>
            <w:r>
              <w:rPr>
                <w:rFonts w:ascii="Arial MT" w:hAnsi="Arial MT"/>
                <w:spacing w:val="-2"/>
                <w:sz w:val="24"/>
              </w:rPr>
              <w:t>Giriş</w:t>
            </w:r>
          </w:p>
        </w:tc>
      </w:tr>
    </w:tbl>
    <w:p w:rsidR="007D3BDD" w:rsidRDefault="007D3BDD"/>
    <w:sectPr w:rsidR="007D3BDD">
      <w:pgSz w:w="11910" w:h="16850"/>
      <w:pgMar w:top="140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98"/>
    <w:rsid w:val="005C3598"/>
    <w:rsid w:val="00774C02"/>
    <w:rsid w:val="007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D989A-1E95-4973-BAEC-5DF7699D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42315-6650-4356-A0C1-63637068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Tüzük</vt:lpstr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Tüzük</dc:title>
  <dc:subject>Katma Değer Vergisi  Diplomatik İstisna Tüzüğü</dc:subject>
  <dc:creator>HAYRİ UĞURLU</dc:creator>
  <cp:lastModifiedBy>YAĞMUR ÖZDİL</cp:lastModifiedBy>
  <cp:revision>2</cp:revision>
  <dcterms:created xsi:type="dcterms:W3CDTF">2026-05-18T11:39:00Z</dcterms:created>
  <dcterms:modified xsi:type="dcterms:W3CDTF">2026-05-18T11:39:00Z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2013</vt:lpwstr>
  </property>
</Properties>
</file>